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Background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Sunamganj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Sadar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the second largest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Sunamganj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respect of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population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came into existence in January, 1877 as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was upgraded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1983. Nothing is definitely known about the origin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name. According to the history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Sreehatta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written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Sayed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Mujtaba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Ali,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might have been named after the name of a Soldier named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Sipahi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Sunamuddin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who fought for the independence of the country in 1957.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Area and Location: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occupies an area of 290.71 sq. km. including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6.54 sq.km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under</w:t>
      </w:r>
      <w:proofErr w:type="gramEnd"/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forest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It is located between 24º49´ and 24°96´ north latitudes and between 91º14´ and 91º27´ east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longitudes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bounded on the north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Biswambarpur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India, on the east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Chhatak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Dowarabazar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on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sourth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Dakhin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Sunamganj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Jaganathpur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on the west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Jamalganj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Biswambarpur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Union-Ward, </w:t>
      </w:r>
      <w:proofErr w:type="spellStart"/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Mauza</w:t>
      </w:r>
      <w:proofErr w:type="spellEnd"/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-Mahalla and Village Characteristics: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consists of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paurashava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9 wards, 44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mahallas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9 unions, 120 populated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mauzas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268 villages.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average population of each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ward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mahalla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are 7259 and 1485 respectively. On the other hand, the average of size of each union,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mauza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village are 23743, 1781, and 797 respectively.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Housing and Household Characteristics: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there are 49557 households. Distribution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household by type shows that there are 99.55% general unit, 0.08% institutional and 0.37% other unit.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</w:t>
      </w: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</w:t>
      </w: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Household Size: </w:t>
      </w:r>
      <w:r>
        <w:rPr>
          <w:rFonts w:ascii="Arial" w:hAnsi="Arial" w:cs="Arial"/>
          <w:color w:val="000000"/>
          <w:sz w:val="20"/>
          <w:szCs w:val="20"/>
        </w:rPr>
        <w:t xml:space="preserve">The average household size (General) for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5.6 persons, for rural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area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size is slightly higher i.e. 5.7 and for urban area the size is slightly lower i.e. 5.3.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</w:t>
      </w: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</w:t>
      </w: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Type of Housing Structure: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7.2% general household live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pucca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house,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17.3</w:t>
      </w:r>
      <w:proofErr w:type="gramEnd"/>
      <w:r>
        <w:rPr>
          <w:rFonts w:ascii="Arial" w:hAnsi="Arial" w:cs="Arial"/>
          <w:color w:val="000000"/>
          <w:sz w:val="20"/>
          <w:szCs w:val="20"/>
        </w:rPr>
        <w:t>% in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semi-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pucca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house, 73.8%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kancha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house and the remaining 1.7% live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jhupri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which is shown in a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pie-chart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below: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84622" w:rsidRP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E84622">
        <w:rPr>
          <w:rFonts w:ascii="Arial" w:hAnsi="Arial" w:cs="Arial"/>
          <w:b/>
          <w:bCs/>
          <w:color w:val="000000"/>
          <w:u w:val="single"/>
        </w:rPr>
        <w:t>Housing structure by type, 2011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</w:t>
      </w: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</w:t>
      </w: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Source of Drinking Water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Sunamganj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Sadar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88.7% of general household get the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facility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drinking water from tube-well, 2.9% from tap and the remaining 8.4% household get water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other sources.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</w:t>
      </w: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</w:t>
      </w: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Sanitation: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37.3% of general household have sanitary latrine, 51.4% non-sanitary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latrine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the remaining 11.3% have no toilet facility.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</w:t>
      </w:r>
      <w:r w:rsidRPr="00E84622">
        <w:rPr>
          <w:rFonts w:ascii="Symbol" w:hAnsi="Symbol" w:cs="Symbol"/>
          <w:color w:val="000000"/>
          <w:sz w:val="20"/>
          <w:szCs w:val="20"/>
          <w:u w:val="single"/>
        </w:rPr>
        <w:t></w:t>
      </w: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Access to Electricity: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All the 9 unions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have brought under the Rural Electrification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Program.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However, a total of 47.4% of the general household reported to have electricity connection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entire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2011 as against 15.4% in 2001.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Population Characteristics: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According to Population and Housing Census 2011, the total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population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279019 of which 139561 are males and 139458 are females. The sex ratio of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100 in 2011 which has remarkably decreased as against in 2001.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Growth Rate: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decadal population growth rate for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(-) 24.02% and annual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compound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growth rate is (-) 2.67%. The decadal growth rates over the last half-century are shown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below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4622" w:rsidRP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u w:val="single"/>
        </w:rPr>
      </w:pPr>
      <w:r w:rsidRPr="00E84622">
        <w:rPr>
          <w:rFonts w:ascii="Arial" w:hAnsi="Arial" w:cs="Arial"/>
          <w:b/>
          <w:bCs/>
          <w:color w:val="000000"/>
          <w:sz w:val="18"/>
          <w:u w:val="single"/>
        </w:rPr>
        <w:t>Decadal growth rate of population, 1951-2011</w:t>
      </w:r>
    </w:p>
    <w:p w:rsidR="00E84622" w:rsidRP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262"/>
      </w:tblGrid>
      <w:tr w:rsidR="00E84622" w:rsidTr="00E84622">
        <w:trPr>
          <w:trHeight w:val="305"/>
        </w:trPr>
        <w:tc>
          <w:tcPr>
            <w:tcW w:w="2093" w:type="dxa"/>
          </w:tcPr>
          <w:p w:rsid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Decades</w:t>
            </w:r>
          </w:p>
        </w:tc>
        <w:tc>
          <w:tcPr>
            <w:tcW w:w="2262" w:type="dxa"/>
          </w:tcPr>
          <w:p w:rsidR="00E84622" w:rsidRP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Growth Rate (%)</w:t>
            </w:r>
          </w:p>
        </w:tc>
      </w:tr>
      <w:tr w:rsidR="00E84622" w:rsidTr="00E84622">
        <w:trPr>
          <w:trHeight w:val="241"/>
        </w:trPr>
        <w:tc>
          <w:tcPr>
            <w:tcW w:w="2093" w:type="dxa"/>
          </w:tcPr>
          <w:p w:rsid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1951-1961</w:t>
            </w:r>
          </w:p>
        </w:tc>
        <w:tc>
          <w:tcPr>
            <w:tcW w:w="2262" w:type="dxa"/>
          </w:tcPr>
          <w:p w:rsidR="00E84622" w:rsidRP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46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3.6</w:t>
            </w:r>
          </w:p>
        </w:tc>
      </w:tr>
      <w:tr w:rsidR="00E84622" w:rsidTr="00E84622">
        <w:trPr>
          <w:trHeight w:val="241"/>
        </w:trPr>
        <w:tc>
          <w:tcPr>
            <w:tcW w:w="2093" w:type="dxa"/>
          </w:tcPr>
          <w:p w:rsid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1961-1974</w:t>
            </w:r>
          </w:p>
        </w:tc>
        <w:tc>
          <w:tcPr>
            <w:tcW w:w="2262" w:type="dxa"/>
          </w:tcPr>
          <w:p w:rsidR="00E84622" w:rsidRP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46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49.4</w:t>
            </w:r>
          </w:p>
        </w:tc>
      </w:tr>
      <w:tr w:rsidR="00E84622" w:rsidTr="00E84622">
        <w:trPr>
          <w:trHeight w:val="241"/>
        </w:trPr>
        <w:tc>
          <w:tcPr>
            <w:tcW w:w="2093" w:type="dxa"/>
          </w:tcPr>
          <w:p w:rsid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1974-1981</w:t>
            </w:r>
          </w:p>
        </w:tc>
        <w:tc>
          <w:tcPr>
            <w:tcW w:w="2262" w:type="dxa"/>
          </w:tcPr>
          <w:p w:rsidR="00E84622" w:rsidRP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46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19.3</w:t>
            </w:r>
          </w:p>
        </w:tc>
      </w:tr>
      <w:tr w:rsidR="00E84622" w:rsidTr="00E84622">
        <w:trPr>
          <w:trHeight w:val="241"/>
        </w:trPr>
        <w:tc>
          <w:tcPr>
            <w:tcW w:w="2093" w:type="dxa"/>
          </w:tcPr>
          <w:p w:rsid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1981-1991</w:t>
            </w:r>
          </w:p>
        </w:tc>
        <w:tc>
          <w:tcPr>
            <w:tcW w:w="2262" w:type="dxa"/>
          </w:tcPr>
          <w:p w:rsidR="00E84622" w:rsidRP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46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26.7</w:t>
            </w:r>
          </w:p>
        </w:tc>
      </w:tr>
      <w:tr w:rsidR="00E84622" w:rsidTr="00E84622">
        <w:trPr>
          <w:trHeight w:val="227"/>
        </w:trPr>
        <w:tc>
          <w:tcPr>
            <w:tcW w:w="2093" w:type="dxa"/>
          </w:tcPr>
          <w:p w:rsid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1991-2001</w:t>
            </w:r>
          </w:p>
        </w:tc>
        <w:tc>
          <w:tcPr>
            <w:tcW w:w="2262" w:type="dxa"/>
          </w:tcPr>
          <w:p w:rsidR="00E84622" w:rsidRP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46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21.1</w:t>
            </w:r>
          </w:p>
        </w:tc>
      </w:tr>
      <w:tr w:rsidR="00E84622" w:rsidTr="00E84622">
        <w:trPr>
          <w:trHeight w:val="257"/>
        </w:trPr>
        <w:tc>
          <w:tcPr>
            <w:tcW w:w="2093" w:type="dxa"/>
          </w:tcPr>
          <w:p w:rsid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2001-2011</w:t>
            </w:r>
          </w:p>
        </w:tc>
        <w:tc>
          <w:tcPr>
            <w:tcW w:w="2262" w:type="dxa"/>
          </w:tcPr>
          <w:p w:rsidR="00E84622" w:rsidRP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846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(-)24.00</w:t>
            </w:r>
          </w:p>
        </w:tc>
      </w:tr>
    </w:tbl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846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Literacy and Education: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Information on Literacy and Education is furnished below: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Literacy: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Sunamganj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Sadar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it is found that 38.8% populations aged 7 years and over are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literate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Literacy rates by sex of three consecutive censuses are shown below:</w:t>
      </w:r>
    </w:p>
    <w:p w:rsidR="0021088C" w:rsidRDefault="0021088C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1088C">
        <w:rPr>
          <w:rFonts w:ascii="Arial" w:hAnsi="Arial" w:cs="Arial"/>
          <w:b/>
          <w:bCs/>
          <w:color w:val="000000"/>
          <w:sz w:val="20"/>
          <w:u w:val="single"/>
        </w:rPr>
        <w:t>Literacy rate by sex, 1991-2011</w:t>
      </w:r>
    </w:p>
    <w:p w:rsidR="00E84622" w:rsidRDefault="00E84622" w:rsidP="00E8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Literacy rate is also shown in a Bar-Diagram below:</w:t>
      </w:r>
    </w:p>
    <w:tbl>
      <w:tblPr>
        <w:tblStyle w:val="TableGrid"/>
        <w:tblW w:w="0" w:type="auto"/>
        <w:tblLook w:val="04A0"/>
      </w:tblPr>
      <w:tblGrid>
        <w:gridCol w:w="1548"/>
        <w:gridCol w:w="1350"/>
        <w:gridCol w:w="1620"/>
        <w:gridCol w:w="1170"/>
      </w:tblGrid>
      <w:tr w:rsidR="00E84622" w:rsidTr="0021088C">
        <w:tc>
          <w:tcPr>
            <w:tcW w:w="1548" w:type="dxa"/>
          </w:tcPr>
          <w:p w:rsidR="00E84622" w:rsidRDefault="00E84622" w:rsidP="00E84622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350" w:type="dxa"/>
          </w:tcPr>
          <w:p w:rsidR="00E84622" w:rsidRDefault="00E84622" w:rsidP="00E84622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620" w:type="dxa"/>
          </w:tcPr>
          <w:p w:rsidR="00E84622" w:rsidRDefault="00E84622" w:rsidP="00E84622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170" w:type="dxa"/>
          </w:tcPr>
          <w:p w:rsidR="00E84622" w:rsidRDefault="00E84622" w:rsidP="00E84622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E84622" w:rsidTr="0021088C">
        <w:tc>
          <w:tcPr>
            <w:tcW w:w="1548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Both Sex</w:t>
            </w:r>
          </w:p>
        </w:tc>
        <w:tc>
          <w:tcPr>
            <w:tcW w:w="1350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620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170" w:type="dxa"/>
          </w:tcPr>
          <w:p w:rsidR="00E84622" w:rsidRPr="00E84622" w:rsidRDefault="00E84622" w:rsidP="00E846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38.8</w:t>
            </w:r>
          </w:p>
        </w:tc>
      </w:tr>
      <w:tr w:rsidR="00E84622" w:rsidTr="0021088C">
        <w:tc>
          <w:tcPr>
            <w:tcW w:w="1548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350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620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1170" w:type="dxa"/>
          </w:tcPr>
          <w:p w:rsidR="00E84622" w:rsidRDefault="0021088C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41.3</w:t>
            </w:r>
          </w:p>
        </w:tc>
      </w:tr>
      <w:tr w:rsidR="00E84622" w:rsidTr="0021088C">
        <w:tc>
          <w:tcPr>
            <w:tcW w:w="1548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350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620" w:type="dxa"/>
          </w:tcPr>
          <w:p w:rsidR="00E84622" w:rsidRDefault="00E84622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170" w:type="dxa"/>
          </w:tcPr>
          <w:p w:rsidR="00E84622" w:rsidRDefault="0021088C" w:rsidP="00E84622">
            <w:r>
              <w:rPr>
                <w:rFonts w:ascii="Arial" w:hAnsi="Arial" w:cs="Arial"/>
                <w:color w:val="000000"/>
                <w:sz w:val="16"/>
                <w:szCs w:val="16"/>
              </w:rPr>
              <w:t>36.2</w:t>
            </w:r>
          </w:p>
        </w:tc>
      </w:tr>
    </w:tbl>
    <w:p w:rsidR="00BC0092" w:rsidRDefault="00BC0092" w:rsidP="00E84622"/>
    <w:sectPr w:rsidR="00BC0092" w:rsidSect="00BC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4622"/>
    <w:rsid w:val="0021088C"/>
    <w:rsid w:val="004E7B81"/>
    <w:rsid w:val="00777A21"/>
    <w:rsid w:val="00BC0092"/>
    <w:rsid w:val="00E84622"/>
    <w:rsid w:val="00F7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2017-09-13T07:43:00Z</dcterms:created>
  <dcterms:modified xsi:type="dcterms:W3CDTF">2017-09-13T07:43:00Z</dcterms:modified>
</cp:coreProperties>
</file>